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心肺复苏假人模型采购市场调查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根据教学科研需要，需采购心肺复苏假人模型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</w:p>
    <w:p w14:paraId="2091C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心肺复苏假人模型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0693A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本项目为社会体育专业教学使用，采购心肺复苏假人模型，用于运动解剖学、运动康复等课程实践教学。供应商需提供合格证明、质保及售后支持，确保满足体育专业实验教学与实训使用。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281A42F9"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6277878A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654155B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3E9DB5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813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、报送时间</w:t>
      </w:r>
    </w:p>
    <w:p w14:paraId="2207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请于202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时前，以快件投递或直接送达方式送达。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2.联系人及联系方式</w:t>
      </w:r>
    </w:p>
    <w:p w14:paraId="43F7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欧老师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13237536324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地址：江西省景德镇市浮梁工美大道666号</w:t>
      </w:r>
    </w:p>
    <w:p w14:paraId="27405A6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jc w:val="right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江西陶瓷工艺美术职业技术学院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ind w:firstLine="640" w:firstLineChars="200"/>
        <w:jc w:val="righ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国际文旅学院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</w:p>
    <w:p w14:paraId="09062E7F">
      <w:pPr>
        <w:pStyle w:val="6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心肺复苏假人模型采购市场调查函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章）：国际文旅学院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调查函时间：2026年3月31日-4月3日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使用（牵头）部门经办人及联系电话：欧老师/13237536324</w:t>
      </w:r>
    </w:p>
    <w:tbl>
      <w:tblPr>
        <w:tblStyle w:val="13"/>
        <w:tblW w:w="104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44"/>
        <w:gridCol w:w="1950"/>
        <w:gridCol w:w="1568"/>
        <w:gridCol w:w="914"/>
        <w:gridCol w:w="239"/>
        <w:gridCol w:w="756"/>
        <w:gridCol w:w="887"/>
        <w:gridCol w:w="1022"/>
        <w:gridCol w:w="966"/>
        <w:gridCol w:w="117"/>
      </w:tblGrid>
      <w:tr w14:paraId="60163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1958" w:type="dxa"/>
            <w:vAlign w:val="center"/>
          </w:tcPr>
          <w:p w14:paraId="1836A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5A89F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1994" w:type="dxa"/>
            <w:gridSpan w:val="2"/>
            <w:vAlign w:val="center"/>
          </w:tcPr>
          <w:p w14:paraId="57D60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心肺复苏假人模型</w:t>
            </w:r>
          </w:p>
        </w:tc>
        <w:tc>
          <w:tcPr>
            <w:tcW w:w="1568" w:type="dxa"/>
            <w:vAlign w:val="center"/>
          </w:tcPr>
          <w:p w14:paraId="38181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197D1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914" w:type="dxa"/>
            <w:vAlign w:val="center"/>
          </w:tcPr>
          <w:p w14:paraId="5B88A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4个</w:t>
            </w:r>
          </w:p>
        </w:tc>
        <w:tc>
          <w:tcPr>
            <w:tcW w:w="995" w:type="dxa"/>
            <w:gridSpan w:val="2"/>
            <w:vAlign w:val="center"/>
          </w:tcPr>
          <w:p w14:paraId="11E2C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887" w:type="dxa"/>
            <w:vAlign w:val="center"/>
          </w:tcPr>
          <w:p w14:paraId="2F8E7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77867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总价</w:t>
            </w:r>
          </w:p>
          <w:p w14:paraId="5AA0C17A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083" w:type="dxa"/>
            <w:gridSpan w:val="2"/>
            <w:vAlign w:val="center"/>
          </w:tcPr>
          <w:p w14:paraId="3A65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376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958" w:type="dxa"/>
            <w:vAlign w:val="center"/>
          </w:tcPr>
          <w:p w14:paraId="47CF0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463" w:type="dxa"/>
            <w:gridSpan w:val="10"/>
            <w:vAlign w:val="center"/>
          </w:tcPr>
          <w:p w14:paraId="141CF952">
            <w:pPr>
              <w:pStyle w:val="4"/>
              <w:numPr>
                <w:ilvl w:val="0"/>
                <w:numId w:val="0"/>
              </w:numPr>
              <w:spacing w:before="72"/>
              <w:ind w:right="2314" w:rightChars="0"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>第一章</w:t>
            </w:r>
            <w:r>
              <w:rPr>
                <w:rFonts w:hint="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/>
                <w:lang w:eastAsia="zh-CN"/>
              </w:rPr>
              <w:t>项目概括</w:t>
            </w:r>
          </w:p>
          <w:p w14:paraId="5E618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本项目为社会体育专业教学使用，采购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心肺复苏假人模型，用于运动解剖学、运动康复等课程实践教学。供应商需提供合格证明、质保及售后支持，确保满足体育专业实验教学与实训使用。</w:t>
            </w:r>
          </w:p>
          <w:p w14:paraId="1EAA6549">
            <w:pPr>
              <w:pStyle w:val="4"/>
              <w:numPr>
                <w:ilvl w:val="0"/>
                <w:numId w:val="1"/>
              </w:numPr>
              <w:spacing w:before="72"/>
              <w:ind w:left="0" w:leftChars="0" w:right="2314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技术需求</w:t>
            </w:r>
          </w:p>
          <w:p w14:paraId="5DDB384F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一、整体配置</w:t>
            </w:r>
          </w:p>
          <w:p w14:paraId="69F27AB4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模型主体：高级全身心肺复苏模型1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，采用符合医学教学标准的设计，能够真实模拟人体形态和心肺复苏操作反馈。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  <w:p w14:paraId="57E8BE9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辅助配件：包含牛津袋1、可换肺袋4、可换脸皮1、全身操作垫1、屏障面膜（50张/盒）1、热敏打印纸2、电源适配器及数据连接线1、急救手册1、说明书合格证保修卡*1，满足多样化的教学和练习需求。</w:t>
            </w:r>
          </w:p>
          <w:p w14:paraId="23E612D5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二、模型特性</w:t>
            </w:r>
          </w:p>
          <w:p w14:paraId="14896B70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人体材料选用热塑弹性体混合胶材料，经过严格检测，具有高强度、耐老化、抗撕拉等特性，经注塑机高温压制而成，安全、环保、无毒。</w:t>
            </w:r>
          </w:p>
          <w:p w14:paraId="4DDF80C3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胸部肋骨线清晰，具备高弹性，回弹性能良好，能够多次重复操作而不变形。</w:t>
            </w:r>
          </w:p>
          <w:p w14:paraId="61609A0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整体形态逼真，肤色统一，手感真实，便于操作定位。</w:t>
            </w:r>
          </w:p>
          <w:p w14:paraId="59C90419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头可水平转动180度，可模拟观察口腔有无异物和清除口腔异物的操作场景。</w:t>
            </w:r>
          </w:p>
          <w:p w14:paraId="2E1D6A04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半身模型加底座设计，可立可卧，方便携带和不同场景下的使用。全身款模型上半身采用热塑弹性体混合胶材料，腿部采用高弹性、高密度海绵填充。</w:t>
            </w:r>
          </w:p>
          <w:p w14:paraId="72861F30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三、功能特点</w:t>
            </w:r>
          </w:p>
          <w:p w14:paraId="50CA526D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训练与考核：支持训练、考核、实战多种模式，可满足不同阶段学习者的需求，从基础练习到实际考核都能提供有效的辅助。</w:t>
            </w:r>
          </w:p>
          <w:p w14:paraId="296B8B6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数据显示与记录</w:t>
            </w:r>
          </w:p>
          <w:p w14:paraId="28E79F33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具备条形灯显示功能，能够直观展示操作的相关状态。</w:t>
            </w:r>
          </w:p>
          <w:p w14:paraId="51302B26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可录制、回放操作过程，方便学员自我评估和教师点评指导。</w:t>
            </w:r>
          </w:p>
          <w:p w14:paraId="45B854A3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操作数据实时更新，配合语音提示和成绩单打印功能，能及时反馈操作结果，便于记录和分析学习情况。</w:t>
            </w:r>
          </w:p>
          <w:p w14:paraId="5CA275CD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关键操作反馈</w:t>
            </w:r>
          </w:p>
          <w:p w14:paraId="024D3A09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颈动脉自主搏动功能，可让学员准确判断复苏效果。</w:t>
            </w:r>
          </w:p>
          <w:p w14:paraId="22E81AAA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瞳孔自动缩放，模拟真实人体反应，增强训练的真实性。</w:t>
            </w:r>
          </w:p>
          <w:p w14:paraId="05532486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9.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具备清理口腔异物判断功能，在无需异物的情况下也能进行相关操作训练，清理时灯光亮起提示。</w:t>
            </w:r>
          </w:p>
          <w:p w14:paraId="0AB8D218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拍肩意识判断功能，带有语音反馈，帮助学员掌握正确的判断方法。</w:t>
            </w:r>
          </w:p>
          <w:p w14:paraId="65C6AF68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11.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脉搏检查亮灯提示，明确操作位置和状态。</w:t>
            </w:r>
          </w:p>
          <w:p w14:paraId="2977ED0C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12.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电极片位置指示，配合AED互动模拟人功能，直观的互动设计提升培训效率，电极片粘贴位置有亮灯提示。</w:t>
            </w:r>
          </w:p>
          <w:p w14:paraId="12AAB373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四、教学支持</w:t>
            </w:r>
          </w:p>
          <w:p w14:paraId="76C7F316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配套教学视频，为学员提供标准操作示范，帮助学员更快掌握正确的心肺复苏操作技巧。</w:t>
            </w:r>
          </w:p>
          <w:p w14:paraId="43BFF791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五、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控制设备：数码显示控制器1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，用于精确控制和显示操作数据，具备清晰的界面和直观的操作按钮。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控制器显示屏功能:</w:t>
            </w:r>
          </w:p>
          <w:p w14:paraId="1FC287F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电子监测:电子指示灯显示监测气道开放和按压部位。人工呼吸和胸外按压的正确次数计数和</w:t>
            </w:r>
          </w:p>
          <w:p w14:paraId="22E2BC23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错误次数计数。</w:t>
            </w:r>
          </w:p>
          <w:p w14:paraId="4D975D0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语音提示:训练和考核中全程中文语音提示，可开启和关闭语音，调节音量。</w:t>
            </w:r>
          </w:p>
          <w:p w14:paraId="58E16C55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1条形码显示吹气量:正确的吹气量为500~600ml-1000ml:</w:t>
            </w:r>
          </w:p>
          <w:p w14:paraId="2861ACDC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吹气量过少时，条形码为黄色。</w:t>
            </w:r>
          </w:p>
          <w:p w14:paraId="5F4B4481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吹气量合适时，条形码为绿色。</w:t>
            </w:r>
          </w:p>
          <w:p w14:paraId="0B5E8551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吹气量过大时，条形码为红色。</w:t>
            </w:r>
          </w:p>
          <w:p w14:paraId="75ADC233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吹入的潮气量过快或超大，造成气体进入胃部指示灯显示;数码计数显示;错误语言提示;</w:t>
            </w:r>
          </w:p>
          <w:p w14:paraId="447DABC4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条形码显示按压深度，正确的按压深度5-6cm:</w:t>
            </w:r>
          </w:p>
          <w:p w14:paraId="1E829AA2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按压深度过少时，条形码为黄色。</w:t>
            </w:r>
          </w:p>
          <w:p w14:paraId="494CDB27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按压深度合适时，条形码为绿色。</w:t>
            </w:r>
          </w:p>
          <w:p w14:paraId="5C146192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按压深度过大时，条形码为红色。</w:t>
            </w:r>
          </w:p>
          <w:p w14:paraId="458BA7E6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可自行设定操作正确率。</w:t>
            </w:r>
          </w:p>
          <w:p w14:paraId="45FBC2AB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可自行设定操作时间，以秒为单位。</w:t>
            </w:r>
          </w:p>
          <w:p w14:paraId="3F56108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操作频率:2020标准100-120次/分，也可自行设定数值。</w:t>
            </w:r>
          </w:p>
          <w:p w14:paraId="3A549FD9">
            <w:pPr>
              <w:pStyle w:val="4"/>
              <w:numPr>
                <w:ilvl w:val="0"/>
                <w:numId w:val="0"/>
              </w:numPr>
              <w:spacing w:before="72"/>
              <w:ind w:leftChars="0" w:right="2314" w:rightChars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电源状态:采用220V电源，经过稳压器稳压后输出电源12V。</w:t>
            </w:r>
          </w:p>
          <w:p w14:paraId="766B0601">
            <w:pPr>
              <w:pStyle w:val="4"/>
              <w:numPr>
                <w:ilvl w:val="0"/>
                <w:numId w:val="0"/>
              </w:numPr>
              <w:spacing w:before="72"/>
              <w:ind w:leftChars="0" w:right="2314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第三章</w:t>
            </w:r>
            <w:r>
              <w:rPr>
                <w:rFonts w:hint="eastAsia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商务要求</w:t>
            </w:r>
          </w:p>
          <w:p w14:paraId="2618E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供货期：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自合同签署之日起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15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工作日内按采购人指定地点安装、调试、试运行（用）合格并通过验收。</w:t>
            </w:r>
          </w:p>
          <w:p w14:paraId="48AE18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质保期：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2年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质保期自甲方最终验收合格之日起开始计算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。</w:t>
            </w:r>
          </w:p>
          <w:p w14:paraId="1701EA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售后服务：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提供硬件终身保修、软件终身升级维护且采购人具有软件终身使用权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电话报修后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>24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小时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上门服务、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小时内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能够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排除故障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质保期内以上服务产生的一切费用仅包含在报价（合同价）中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；</w:t>
            </w:r>
          </w:p>
          <w:p w14:paraId="1D1C49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验收标准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依据招标文件中的技术参数、成交单位的技术要求、商务要求及承诺逐项核验；</w:t>
            </w:r>
          </w:p>
          <w:p w14:paraId="52F01E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付款方式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本项目履约保证金为合同金额的5%（人民币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）,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合同签订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履约保证金转至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后，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乙方按要求开具供货发票，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甲方于收到规范、合格的供货发票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后15个工作日内支付货款的100%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，履约保证金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待履约完成后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无息返还。</w:t>
            </w:r>
          </w:p>
          <w:p w14:paraId="23DC2FAE">
            <w:pPr>
              <w:widowControl/>
              <w:spacing w:line="46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8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8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8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8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gridSpan w:val="4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988" w:type="dxa"/>
            <w:gridSpan w:val="2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903" w:hRule="atLeast"/>
          <w:jc w:val="center"/>
        </w:trPr>
        <w:tc>
          <w:tcPr>
            <w:tcW w:w="2002" w:type="dxa"/>
            <w:gridSpan w:val="2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8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8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864F99"/>
    <w:multiLevelType w:val="singleLevel"/>
    <w:tmpl w:val="2E864F99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A3E36F7"/>
    <w:rsid w:val="0AAF0151"/>
    <w:rsid w:val="0E203DD9"/>
    <w:rsid w:val="0F660ABF"/>
    <w:rsid w:val="10B244F7"/>
    <w:rsid w:val="11020FDA"/>
    <w:rsid w:val="12313CD8"/>
    <w:rsid w:val="17A1678A"/>
    <w:rsid w:val="1C912010"/>
    <w:rsid w:val="1E0B2E02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EB9242E"/>
    <w:rsid w:val="2F0B32F8"/>
    <w:rsid w:val="2FF21F37"/>
    <w:rsid w:val="33786E92"/>
    <w:rsid w:val="35923F8F"/>
    <w:rsid w:val="377E068C"/>
    <w:rsid w:val="37BB13D7"/>
    <w:rsid w:val="39900FC9"/>
    <w:rsid w:val="3ABE56C2"/>
    <w:rsid w:val="3E6F5651"/>
    <w:rsid w:val="3F492F53"/>
    <w:rsid w:val="3F6E3B5B"/>
    <w:rsid w:val="3FC04CF7"/>
    <w:rsid w:val="403A3A3D"/>
    <w:rsid w:val="424162CB"/>
    <w:rsid w:val="449D26A9"/>
    <w:rsid w:val="45605CF4"/>
    <w:rsid w:val="47BA236B"/>
    <w:rsid w:val="4A31409A"/>
    <w:rsid w:val="4AB368C6"/>
    <w:rsid w:val="4FE44606"/>
    <w:rsid w:val="51C413B8"/>
    <w:rsid w:val="54C65448"/>
    <w:rsid w:val="55D078AC"/>
    <w:rsid w:val="562763BA"/>
    <w:rsid w:val="56310D0D"/>
    <w:rsid w:val="59213594"/>
    <w:rsid w:val="5A526867"/>
    <w:rsid w:val="5AAE0E58"/>
    <w:rsid w:val="5B9677F0"/>
    <w:rsid w:val="5D4810F0"/>
    <w:rsid w:val="5F544B52"/>
    <w:rsid w:val="60C82547"/>
    <w:rsid w:val="644B6B6B"/>
    <w:rsid w:val="64FE1110"/>
    <w:rsid w:val="67C95523"/>
    <w:rsid w:val="689A2A1B"/>
    <w:rsid w:val="68F35F86"/>
    <w:rsid w:val="69E209E0"/>
    <w:rsid w:val="6D254C02"/>
    <w:rsid w:val="75770A60"/>
    <w:rsid w:val="766905FD"/>
    <w:rsid w:val="766F65BB"/>
    <w:rsid w:val="77F42148"/>
    <w:rsid w:val="78AC657F"/>
    <w:rsid w:val="7A181A24"/>
    <w:rsid w:val="7AAC05DE"/>
    <w:rsid w:val="7AF1296F"/>
    <w:rsid w:val="7AFB1A3F"/>
    <w:rsid w:val="7BDD4DA6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1"/>
    <w:unhideWhenUsed/>
    <w:qFormat/>
    <w:uiPriority w:val="9"/>
    <w:pPr>
      <w:spacing w:before="14"/>
      <w:ind w:left="1737"/>
      <w:outlineLvl w:val="1"/>
    </w:pPr>
    <w:rPr>
      <w:rFonts w:ascii="宋体" w:hAnsi="宋体" w:eastAsia="宋体"/>
      <w:b/>
      <w:bCs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7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7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3">
    <w:name w:val="Table Grid"/>
    <w:basedOn w:val="1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61"/>
    <w:basedOn w:val="14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2239</Words>
  <Characters>2359</Characters>
  <Lines>0</Lines>
  <Paragraphs>0</Paragraphs>
  <TotalTime>4</TotalTime>
  <ScaleCrop>false</ScaleCrop>
  <LinksUpToDate>false</LinksUpToDate>
  <CharactersWithSpaces>2463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欧敏</cp:lastModifiedBy>
  <cp:lastPrinted>2023-10-23T02:45:00Z</cp:lastPrinted>
  <dcterms:modified xsi:type="dcterms:W3CDTF">2026-03-31T02:29:25Z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EE83BFBE08A145D7BE0CFFFA1A751043_13</vt:lpwstr>
  </property>
  <property fmtid="{D5CDD505-2E9C-101B-9397-08002B2CF9AE}" pid="4" name="KSOTemplateDocerSaveRecord">
    <vt:lpwstr>eyJoZGlkIjoiNGQzNjIxODNiMGEyNTljMGI4OGVkODFiODUwNDk3MzciLCJ1c2VySWQiOiIxNjY1NDIwNTk1In0=</vt:lpwstr>
  </property>
</Properties>
</file>