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人体肌肉模型采购市场调查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根据教学科研需要，需采购人体肌肉模型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</w:p>
    <w:p w14:paraId="2091C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人体肌肉模型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0693A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3.项目概况：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本项目为社会体育专业教学使用，采购人体肌肉模型模型，用于运动解剖学、运动康复等课程实践教学。供应商需提供合格证明、质保及售后支持，确保满足体育专业实验教学与实训使用。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281A42F9">
      <w:pPr>
        <w:pStyle w:val="11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6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6277878A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654155B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3E9DB5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813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、报送时间</w:t>
      </w:r>
    </w:p>
    <w:p w14:paraId="2207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调查函回函文件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请于202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时前，以快件投递或直接送达方式送达。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2.联系人及联系方式</w:t>
      </w:r>
    </w:p>
    <w:p w14:paraId="43F7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欧老师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13237536324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地址：江西省景德镇市浮梁工美大道666号</w:t>
      </w:r>
    </w:p>
    <w:p w14:paraId="27405A6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jc w:val="right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江西陶瓷工艺美术职业技术学院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ind w:firstLine="640" w:firstLineChars="200"/>
        <w:jc w:val="righ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国际文旅学院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</w:p>
    <w:p w14:paraId="09062E7F">
      <w:pPr>
        <w:pStyle w:val="6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人体肌肉模型采购市场调查函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章）：国际文旅学院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调查函时间：2026年3月31日-4月3日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使用（牵头）部门经办人及联系电话：欧老师/13237536324</w:t>
      </w:r>
    </w:p>
    <w:tbl>
      <w:tblPr>
        <w:tblStyle w:val="13"/>
        <w:tblW w:w="104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44"/>
        <w:gridCol w:w="1950"/>
        <w:gridCol w:w="1568"/>
        <w:gridCol w:w="914"/>
        <w:gridCol w:w="239"/>
        <w:gridCol w:w="756"/>
        <w:gridCol w:w="887"/>
        <w:gridCol w:w="1022"/>
        <w:gridCol w:w="966"/>
        <w:gridCol w:w="117"/>
      </w:tblGrid>
      <w:tr w14:paraId="60163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1958" w:type="dxa"/>
            <w:vAlign w:val="center"/>
          </w:tcPr>
          <w:p w14:paraId="1836A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5A89F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1994" w:type="dxa"/>
            <w:gridSpan w:val="2"/>
            <w:vAlign w:val="center"/>
          </w:tcPr>
          <w:p w14:paraId="57D60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人体肌肉模型</w:t>
            </w:r>
          </w:p>
        </w:tc>
        <w:tc>
          <w:tcPr>
            <w:tcW w:w="1568" w:type="dxa"/>
            <w:vAlign w:val="center"/>
          </w:tcPr>
          <w:p w14:paraId="38181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197D1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914" w:type="dxa"/>
            <w:vAlign w:val="center"/>
          </w:tcPr>
          <w:p w14:paraId="5B88A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95" w:type="dxa"/>
            <w:gridSpan w:val="2"/>
            <w:vAlign w:val="center"/>
          </w:tcPr>
          <w:p w14:paraId="11E2C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887" w:type="dxa"/>
            <w:vAlign w:val="center"/>
          </w:tcPr>
          <w:p w14:paraId="2F8E7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77867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总价</w:t>
            </w:r>
          </w:p>
          <w:p w14:paraId="5AA0C17A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083" w:type="dxa"/>
            <w:gridSpan w:val="2"/>
            <w:vAlign w:val="center"/>
          </w:tcPr>
          <w:p w14:paraId="3A653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376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958" w:type="dxa"/>
            <w:vAlign w:val="center"/>
          </w:tcPr>
          <w:p w14:paraId="47CF0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463" w:type="dxa"/>
            <w:gridSpan w:val="10"/>
            <w:vAlign w:val="center"/>
          </w:tcPr>
          <w:p w14:paraId="141CF952">
            <w:pPr>
              <w:pStyle w:val="4"/>
              <w:numPr>
                <w:ilvl w:val="0"/>
                <w:numId w:val="0"/>
              </w:numPr>
              <w:spacing w:before="72"/>
              <w:ind w:right="2314" w:rightChars="0"/>
              <w:jc w:val="both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>第一章</w:t>
            </w:r>
            <w:r>
              <w:rPr>
                <w:rFonts w:hint="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/>
                <w:lang w:eastAsia="zh-CN"/>
              </w:rPr>
              <w:t>项目概括</w:t>
            </w:r>
          </w:p>
          <w:p w14:paraId="5771B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本项目为社会体育专业教学使用，采购人体肌肉模型模型，用于运动解剖学、运动康复等课程实践教学。供应商需提供合格证明、质保及售后支持，确保满足体育专业实验教学与实训使用。</w:t>
            </w:r>
          </w:p>
          <w:p w14:paraId="1EAA6549">
            <w:pPr>
              <w:pStyle w:val="4"/>
              <w:numPr>
                <w:ilvl w:val="0"/>
                <w:numId w:val="0"/>
              </w:numPr>
              <w:spacing w:before="72"/>
              <w:ind w:right="2314" w:rightChars="0"/>
              <w:jc w:val="both"/>
              <w:rPr>
                <w:rFonts w:hint="eastAsia" w:ascii="宋体" w:hAnsi="宋体" w:eastAsia="宋体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>第一章 技术需求</w:t>
            </w:r>
          </w:p>
          <w:p w14:paraId="5D581FB5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人体肌肉模型</w:t>
            </w:r>
          </w:p>
          <w:p w14:paraId="3BB7C3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尺寸规格：整体高度85CM，以真实人体1:2比例设计，能较好呈现人体整体形态与肌肉分布比例关系，方便观察人体肌肉系统整体布局。</w:t>
            </w:r>
          </w:p>
          <w:p w14:paraId="22F12A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结构组成：肌肉和内脏可自由拆分为2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个部件，各部件连接稳固且拆卸组装便捷，便于分层次、分部位深入学习人体肌肉和内脏结构。</w:t>
            </w:r>
          </w:p>
          <w:p w14:paraId="658B75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材质特点：采用环保PVC材质，无毒无味，安全环保，且经久耐用，抗磨损、抗老化性能良好，可长期使用。</w:t>
            </w:r>
          </w:p>
          <w:p w14:paraId="0E6707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细节呈现：肌肉纹理清晰，逼真还原真实人体肌肉形态，颜色贴近真实人体肌肉色泽，有助于直观认识人体肌肉的形态、位置和相互关系。</w:t>
            </w:r>
          </w:p>
          <w:p w14:paraId="66074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适用场景：适用于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体育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教学、科普展览等场景，帮助医学生、科普爱好者等更好地理解人体肌肉和内脏知识。</w:t>
            </w:r>
          </w:p>
          <w:p w14:paraId="6545B5C7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手臂肌肉模型</w:t>
            </w:r>
          </w:p>
          <w:p w14:paraId="678E17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尺寸规格：整体尺寸为71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17cm，符合真实手臂肌肉的大致比例，能清晰展示手臂肌肉的形态和分布。</w:t>
            </w:r>
          </w:p>
          <w:p w14:paraId="77CAE2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结构特点：可进行多角度展示和简单拆分操作，方便观察手臂不同肌肉群的结构和连接方式。</w:t>
            </w:r>
          </w:p>
          <w:p w14:paraId="42F786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材质质量：选用环保PVC材料制作，质地均匀，具有一定的柔韧性和强度，不易损坏，能保证长期使用效果。</w:t>
            </w:r>
          </w:p>
          <w:p w14:paraId="6484ED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细节表现：精细呈现手臂肌肉的纹理、走向，肌肉颜色自然，可清晰分辨不同肌肉组织，有助于深入了解手臂肌肉的解剖结构。</w:t>
            </w:r>
          </w:p>
          <w:p w14:paraId="2D031F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应用场景：主要用于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体育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教育、康复训练指导等领域，帮助学习者掌握手臂肌肉的相关知识，辅助康复训练方案的制定。</w:t>
            </w:r>
          </w:p>
          <w:p w14:paraId="7CDC5BC2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三、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头部肌肉模型</w:t>
            </w:r>
          </w:p>
          <w:p w14:paraId="4324C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尺寸规格：尺寸为33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48cm，与真实人体头部肌肉比例协调，能够准确展示头部肌肉的整体轮廓和分布情况。</w:t>
            </w:r>
          </w:p>
          <w:p w14:paraId="5D0F7E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结构功能：可拆分为多个部件，便于分别观察头部不同区域肌肉的结构和层次关系，各部件组装后稳定性良好。</w:t>
            </w:r>
          </w:p>
          <w:p w14:paraId="60CDE0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材质特性：采用环保PVC材质，安全可靠，无异味，具有良好的耐腐蚀性和耐磨性，使用寿命长。</w:t>
            </w:r>
          </w:p>
          <w:p w14:paraId="4119D2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细节仿真：高度还原头部肌肉的细节，包括肌肉的形状、纹理以及与骨骼、神经等组织的相对位置关系，颜色逼真，有助于直观学习头部肌肉解剖知识。</w:t>
            </w:r>
          </w:p>
          <w:p w14:paraId="77B072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使用场景：适用于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体育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教学、美容整形知识普及等场景，帮助医学专业学生、美容从业者等掌握头部肌肉的结构和功能。</w:t>
            </w:r>
          </w:p>
          <w:p w14:paraId="766B0601">
            <w:pPr>
              <w:pStyle w:val="4"/>
              <w:numPr>
                <w:ilvl w:val="0"/>
                <w:numId w:val="0"/>
              </w:numPr>
              <w:spacing w:before="72"/>
              <w:ind w:leftChars="0" w:right="2314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第三章</w:t>
            </w:r>
            <w:r>
              <w:rPr>
                <w:rFonts w:hint="eastAsia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商务要求</w:t>
            </w:r>
          </w:p>
          <w:p w14:paraId="58545D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1、供货期：自合同签署之日起 30 工作日内按采购人指定地点安装、调试、试运行（用）合格并通过验收。</w:t>
            </w:r>
          </w:p>
          <w:p w14:paraId="455BA2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2、质保期：   1年   ，质保期自甲方最终验收合格之日起开始计算。</w:t>
            </w:r>
          </w:p>
          <w:p w14:paraId="4E053F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、验收标准：依据招标文件中的技术参数、成交单位的技术要求、商务要求及承诺逐项核验；</w:t>
            </w:r>
          </w:p>
          <w:p w14:paraId="0BBF0A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、付款方式：本项目履约保证金为合同金额的5%（人民币    ，￥    ）,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zh-CN" w:eastAsia="zh-CN" w:bidi="ar-SA"/>
              </w:rPr>
              <w:t>合同签订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时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zh-CN" w:eastAsia="zh-CN" w:bidi="ar-SA"/>
              </w:rPr>
              <w:t>乙方将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履约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保证金转至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zh-CN" w:eastAsia="zh-CN" w:bidi="ar-SA"/>
              </w:rPr>
              <w:t>甲方指定帐户，货到甲方指定使用现场安装、调试、试运行合格并通过验收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后，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zh-CN" w:eastAsia="zh-CN" w:bidi="ar-SA"/>
              </w:rPr>
              <w:t>乙方按要求开具供货发票，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甲方于收到规范、合格的供货发票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zh-CN" w:eastAsia="zh-CN" w:bidi="ar-SA"/>
              </w:rPr>
              <w:t>后15个工作日内支付货款的100%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（人民币    ，￥    ）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zh-CN" w:eastAsia="zh-CN" w:bidi="ar-SA"/>
              </w:rPr>
              <w:t>，履约保证金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待履约完成后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zh-CN" w:eastAsia="zh-CN" w:bidi="ar-SA"/>
              </w:rPr>
              <w:t>无息返还。</w:t>
            </w:r>
          </w:p>
          <w:p w14:paraId="2373A240">
            <w:pPr>
              <w:widowControl/>
              <w:spacing w:line="46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8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8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8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8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gridSpan w:val="4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1988" w:type="dxa"/>
            <w:gridSpan w:val="2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903" w:hRule="atLeast"/>
          <w:jc w:val="center"/>
        </w:trPr>
        <w:tc>
          <w:tcPr>
            <w:tcW w:w="2002" w:type="dxa"/>
            <w:gridSpan w:val="2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8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26AB7A6-7DE8-4F12-98BA-525DC5F31D2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8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A3E36F7"/>
    <w:rsid w:val="0AAF0151"/>
    <w:rsid w:val="0E203DD9"/>
    <w:rsid w:val="0F660ABF"/>
    <w:rsid w:val="10B244F7"/>
    <w:rsid w:val="11020FDA"/>
    <w:rsid w:val="12313CD8"/>
    <w:rsid w:val="17A1678A"/>
    <w:rsid w:val="1C912010"/>
    <w:rsid w:val="1E0B2E02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F0B32F8"/>
    <w:rsid w:val="2FF21F37"/>
    <w:rsid w:val="33786E92"/>
    <w:rsid w:val="35923F8F"/>
    <w:rsid w:val="377E068C"/>
    <w:rsid w:val="37BB13D7"/>
    <w:rsid w:val="39900FC9"/>
    <w:rsid w:val="3A9775DC"/>
    <w:rsid w:val="3ABE56C2"/>
    <w:rsid w:val="3E6F5651"/>
    <w:rsid w:val="3F492F53"/>
    <w:rsid w:val="3F6E3B5B"/>
    <w:rsid w:val="3FC04CF7"/>
    <w:rsid w:val="403A3A3D"/>
    <w:rsid w:val="424162CB"/>
    <w:rsid w:val="449D26A9"/>
    <w:rsid w:val="45605CF4"/>
    <w:rsid w:val="47BA236B"/>
    <w:rsid w:val="488D1088"/>
    <w:rsid w:val="4AB368C6"/>
    <w:rsid w:val="4FE44606"/>
    <w:rsid w:val="51C413B8"/>
    <w:rsid w:val="54C65448"/>
    <w:rsid w:val="55D078AC"/>
    <w:rsid w:val="562763BA"/>
    <w:rsid w:val="56310D0D"/>
    <w:rsid w:val="59213594"/>
    <w:rsid w:val="5A526867"/>
    <w:rsid w:val="5AAE0E58"/>
    <w:rsid w:val="5B9677F0"/>
    <w:rsid w:val="5D4810F0"/>
    <w:rsid w:val="5F544B52"/>
    <w:rsid w:val="60C82547"/>
    <w:rsid w:val="644B6B6B"/>
    <w:rsid w:val="64FE1110"/>
    <w:rsid w:val="67C95523"/>
    <w:rsid w:val="689A2A1B"/>
    <w:rsid w:val="68F35F86"/>
    <w:rsid w:val="69E209E0"/>
    <w:rsid w:val="6BAD2FA2"/>
    <w:rsid w:val="6D254C02"/>
    <w:rsid w:val="75770A60"/>
    <w:rsid w:val="766905FD"/>
    <w:rsid w:val="766F65BB"/>
    <w:rsid w:val="77F42148"/>
    <w:rsid w:val="78AC657F"/>
    <w:rsid w:val="7A181A24"/>
    <w:rsid w:val="7AAC05DE"/>
    <w:rsid w:val="7AF1296F"/>
    <w:rsid w:val="7AFB1A3F"/>
    <w:rsid w:val="7BDD4DA6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1"/>
    <w:unhideWhenUsed/>
    <w:qFormat/>
    <w:uiPriority w:val="9"/>
    <w:pPr>
      <w:spacing w:before="14"/>
      <w:ind w:left="1737"/>
      <w:outlineLvl w:val="1"/>
    </w:pPr>
    <w:rPr>
      <w:rFonts w:ascii="宋体" w:hAnsi="宋体" w:eastAsia="宋体"/>
      <w:b/>
      <w:bCs/>
      <w:sz w:val="28"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7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7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3">
    <w:name w:val="Table Grid"/>
    <w:basedOn w:val="1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font61"/>
    <w:basedOn w:val="14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6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7">
    <w:name w:val="font3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font21"/>
    <w:basedOn w:val="1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0">
    <w:name w:val="font81"/>
    <w:basedOn w:val="1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1873</Words>
  <Characters>1972</Characters>
  <Lines>0</Lines>
  <Paragraphs>0</Paragraphs>
  <TotalTime>0</TotalTime>
  <ScaleCrop>false</ScaleCrop>
  <LinksUpToDate>false</LinksUpToDate>
  <CharactersWithSpaces>2081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彭续文</cp:lastModifiedBy>
  <cp:lastPrinted>2023-10-23T02:45:00Z</cp:lastPrinted>
  <dcterms:modified xsi:type="dcterms:W3CDTF">2026-04-12T08:20:14Z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A78A297F9E6A42D6A825179AAF5881EC_13</vt:lpwstr>
  </property>
  <property fmtid="{D5CDD505-2E9C-101B-9397-08002B2CF9AE}" pid="4" name="KSOTemplateDocerSaveRecord">
    <vt:lpwstr>eyJoZGlkIjoiNmY0OTNjZTgyNjAzNTc4YmYyYmI3MTM1MTBlNGNhNTEiLCJ1c2VySWQiOiIxNjYwNzAxNDc4In0=</vt:lpwstr>
  </property>
</Properties>
</file>